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10</w:t>
      </w:r>
      <w:r w:rsidR="008A5A60">
        <w:rPr>
          <w:sz w:val="26"/>
          <w:szCs w:val="26"/>
        </w:rPr>
        <w:t>23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Милованова Владимира Евгеньевича</w:t>
      </w:r>
      <w:r w:rsidRPr="006A5129" w:rsidR="006A5129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Милованов В.Е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Атом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>
        <w:rPr>
          <w:sz w:val="26"/>
          <w:szCs w:val="26"/>
        </w:rPr>
        <w:t>26.07.2023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sz w:val="26"/>
          <w:szCs w:val="26"/>
        </w:rPr>
        <w:t>за полугодие 2023 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13.10.2023</w:t>
      </w:r>
      <w:r w:rsidRPr="00A13816">
        <w:rPr>
          <w:sz w:val="26"/>
          <w:szCs w:val="26"/>
        </w:rPr>
        <w:t>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 В.Е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явился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извещался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Милованова В.Е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 В.Е</w:t>
      </w:r>
      <w:r w:rsidRPr="00A13816">
        <w:rPr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Милованова В.Е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8A5A60">
        <w:rPr>
          <w:sz w:val="26"/>
          <w:szCs w:val="26"/>
        </w:rPr>
        <w:t>435183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8A5A60">
        <w:rPr>
          <w:sz w:val="26"/>
          <w:szCs w:val="26"/>
        </w:rPr>
        <w:t>19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 В.Е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8A5A60">
        <w:rPr>
          <w:sz w:val="26"/>
          <w:szCs w:val="26"/>
        </w:rPr>
        <w:t>Атом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8A5A60">
        <w:rPr>
          <w:sz w:val="26"/>
          <w:szCs w:val="26"/>
        </w:rPr>
        <w:t>26.07.2023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8A5A60">
        <w:rPr>
          <w:sz w:val="26"/>
          <w:szCs w:val="26"/>
        </w:rPr>
        <w:t xml:space="preserve">за </w:t>
      </w:r>
      <w:r w:rsidR="008A5A60">
        <w:rPr>
          <w:sz w:val="26"/>
          <w:szCs w:val="26"/>
        </w:rPr>
        <w:t>полугодие 2023 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8A5A60">
        <w:rPr>
          <w:sz w:val="26"/>
          <w:szCs w:val="26"/>
        </w:rPr>
        <w:t>13.10.2023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8A5A60">
        <w:rPr>
          <w:sz w:val="26"/>
          <w:szCs w:val="26"/>
        </w:rPr>
        <w:t>13.10.2023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Милованову В.Е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генерального </w:t>
      </w:r>
      <w:r w:rsidRPr="00A13816" w:rsidR="00DA33F5">
        <w:rPr>
          <w:sz w:val="26"/>
          <w:szCs w:val="26"/>
        </w:rPr>
        <w:t>директора общества с ограниченной ответственностью «</w:t>
      </w:r>
      <w:r w:rsidR="008A5A60">
        <w:rPr>
          <w:sz w:val="26"/>
          <w:szCs w:val="26"/>
        </w:rPr>
        <w:t>Атом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Милованова Владимира Евгеньевича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79786021906240141579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622635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7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8A5A60">
        <w:rPr>
          <w:sz w:val="26"/>
          <w:szCs w:val="26"/>
        </w:rPr>
        <w:t>023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A5129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1899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775F-EAB1-473A-872F-DEE75F2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